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4617" w14:textId="45F28F5B" w:rsidR="005855EA" w:rsidRDefault="004F4397">
      <w:r>
        <w:rPr>
          <w:noProof/>
        </w:rPr>
        <w:drawing>
          <wp:inline distT="0" distB="0" distL="0" distR="0" wp14:anchorId="05727898" wp14:editId="6A2165E8">
            <wp:extent cx="9820275" cy="5343525"/>
            <wp:effectExtent l="0" t="0" r="9525" b="9525"/>
            <wp:docPr id="4146122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A46087A-AD64-4274-9134-E84A8E7A50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855EA" w:rsidSect="00904CBB">
      <w:pgSz w:w="16838" w:h="11906" w:orient="landscape"/>
      <w:pgMar w:top="737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BB"/>
    <w:rsid w:val="000038C9"/>
    <w:rsid w:val="000472AD"/>
    <w:rsid w:val="000558ED"/>
    <w:rsid w:val="000715A6"/>
    <w:rsid w:val="000D56B2"/>
    <w:rsid w:val="000D78BC"/>
    <w:rsid w:val="00162E3C"/>
    <w:rsid w:val="00182002"/>
    <w:rsid w:val="0019291E"/>
    <w:rsid w:val="001A21E5"/>
    <w:rsid w:val="001A2CB9"/>
    <w:rsid w:val="001B09FC"/>
    <w:rsid w:val="00263741"/>
    <w:rsid w:val="002653CF"/>
    <w:rsid w:val="002B2D34"/>
    <w:rsid w:val="002F0018"/>
    <w:rsid w:val="002F4A92"/>
    <w:rsid w:val="0036600C"/>
    <w:rsid w:val="00367619"/>
    <w:rsid w:val="003A7A10"/>
    <w:rsid w:val="003B7F7E"/>
    <w:rsid w:val="003C07DF"/>
    <w:rsid w:val="003D412D"/>
    <w:rsid w:val="00415B45"/>
    <w:rsid w:val="00416C6C"/>
    <w:rsid w:val="0043017C"/>
    <w:rsid w:val="00482D6C"/>
    <w:rsid w:val="004F4397"/>
    <w:rsid w:val="004F535E"/>
    <w:rsid w:val="00507725"/>
    <w:rsid w:val="00546F59"/>
    <w:rsid w:val="00574235"/>
    <w:rsid w:val="005855EA"/>
    <w:rsid w:val="005A47EC"/>
    <w:rsid w:val="005A4DBA"/>
    <w:rsid w:val="005F47A8"/>
    <w:rsid w:val="006076F7"/>
    <w:rsid w:val="00622094"/>
    <w:rsid w:val="006327BB"/>
    <w:rsid w:val="0065575A"/>
    <w:rsid w:val="006A4DC0"/>
    <w:rsid w:val="006B29D6"/>
    <w:rsid w:val="006D3408"/>
    <w:rsid w:val="00710838"/>
    <w:rsid w:val="007225A9"/>
    <w:rsid w:val="00732489"/>
    <w:rsid w:val="0077123F"/>
    <w:rsid w:val="007A254C"/>
    <w:rsid w:val="00806493"/>
    <w:rsid w:val="00816267"/>
    <w:rsid w:val="00831D6E"/>
    <w:rsid w:val="00836B99"/>
    <w:rsid w:val="00836F65"/>
    <w:rsid w:val="008626F6"/>
    <w:rsid w:val="00870B6F"/>
    <w:rsid w:val="008A668C"/>
    <w:rsid w:val="008B23A5"/>
    <w:rsid w:val="00904CBB"/>
    <w:rsid w:val="009203C1"/>
    <w:rsid w:val="009254A7"/>
    <w:rsid w:val="00930883"/>
    <w:rsid w:val="009322D3"/>
    <w:rsid w:val="00961F99"/>
    <w:rsid w:val="0098171A"/>
    <w:rsid w:val="009D0F62"/>
    <w:rsid w:val="009F3B4B"/>
    <w:rsid w:val="00A0507C"/>
    <w:rsid w:val="00A1648A"/>
    <w:rsid w:val="00A2229A"/>
    <w:rsid w:val="00AC7CC7"/>
    <w:rsid w:val="00AD1669"/>
    <w:rsid w:val="00AE4CB3"/>
    <w:rsid w:val="00B11245"/>
    <w:rsid w:val="00B229C1"/>
    <w:rsid w:val="00B260C7"/>
    <w:rsid w:val="00B30C39"/>
    <w:rsid w:val="00B4085E"/>
    <w:rsid w:val="00B61F55"/>
    <w:rsid w:val="00B855EE"/>
    <w:rsid w:val="00B956F7"/>
    <w:rsid w:val="00BA4C8A"/>
    <w:rsid w:val="00BB5D9F"/>
    <w:rsid w:val="00BF6D6B"/>
    <w:rsid w:val="00C01C30"/>
    <w:rsid w:val="00C03B8F"/>
    <w:rsid w:val="00D11918"/>
    <w:rsid w:val="00D247E0"/>
    <w:rsid w:val="00D32F83"/>
    <w:rsid w:val="00D33263"/>
    <w:rsid w:val="00D41A95"/>
    <w:rsid w:val="00D426E1"/>
    <w:rsid w:val="00D7290B"/>
    <w:rsid w:val="00DA0D66"/>
    <w:rsid w:val="00E0742E"/>
    <w:rsid w:val="00E32505"/>
    <w:rsid w:val="00E76BEA"/>
    <w:rsid w:val="00E77D45"/>
    <w:rsid w:val="00E91748"/>
    <w:rsid w:val="00EC30B8"/>
    <w:rsid w:val="00EE4373"/>
    <w:rsid w:val="00F020AA"/>
    <w:rsid w:val="00F12A98"/>
    <w:rsid w:val="00F14A8B"/>
    <w:rsid w:val="00F218B0"/>
    <w:rsid w:val="00F37951"/>
    <w:rsid w:val="00FD3CC6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C559"/>
  <w15:chartTrackingRefBased/>
  <w15:docId w15:val="{EC031C17-8147-4F3B-9D60-B6AE90F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5.63\tobolsk_fd\&#1060;&#1072;&#1082;&#1090;%202023\&#1057;&#1090;&#1088;&#1091;&#1082;&#1090;&#1091;&#1088;&#1072;%20&#1080;&#1079;&#1076;&#1077;&#1088;&#1078;&#1077;&#1082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strRef>
          <c:f>Бюджет!$J$22</c:f>
          <c:strCache>
            <c:ptCount val="1"/>
            <c:pt idx="0">
              <c:v>Структура издержек (расходов) на содержание объектов инфраструктуры 
ООО "Аэропорт Тобольск" (Д.У.)
 за 2024 год (план)</c:v>
            </c:pt>
          </c:strCache>
        </c:strRef>
      </c:tx>
      <c:layout>
        <c:manualLayout>
          <c:xMode val="edge"/>
          <c:yMode val="edge"/>
          <c:x val="0.12895364238410595"/>
          <c:y val="2.2339895736636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0897568267542718E-2"/>
          <c:y val="0.22569615663820145"/>
          <c:w val="0.39550603216305047"/>
          <c:h val="0.7268568968985829"/>
        </c:manualLayout>
      </c:layout>
      <c:pie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chemeClr val="accent1">
                  <a:tint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6B4-40AB-BDA8-47F3849EB6BF}"/>
              </c:ext>
            </c:extLst>
          </c:dPt>
          <c:dPt>
            <c:idx val="1"/>
            <c:bubble3D val="0"/>
            <c:spPr>
              <a:solidFill>
                <a:schemeClr val="accent1">
                  <a:tint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6B4-40AB-BDA8-47F3849EB6BF}"/>
              </c:ext>
            </c:extLst>
          </c:dPt>
          <c:dPt>
            <c:idx val="2"/>
            <c:bubble3D val="0"/>
            <c:spPr>
              <a:solidFill>
                <a:schemeClr val="accent1">
                  <a:tint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6B4-40AB-BDA8-47F3849EB6BF}"/>
              </c:ext>
            </c:extLst>
          </c:dPt>
          <c:dPt>
            <c:idx val="3"/>
            <c:bubble3D val="0"/>
            <c:spPr>
              <a:solidFill>
                <a:schemeClr val="accent1">
                  <a:shade val="9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6B4-40AB-BDA8-47F3849EB6BF}"/>
              </c:ext>
            </c:extLst>
          </c:dPt>
          <c:dPt>
            <c:idx val="4"/>
            <c:bubble3D val="0"/>
            <c:spPr>
              <a:solidFill>
                <a:schemeClr val="accent1">
                  <a:shade val="7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6B4-40AB-BDA8-47F3849EB6BF}"/>
              </c:ext>
            </c:extLst>
          </c:dPt>
          <c:dPt>
            <c:idx val="5"/>
            <c:bubble3D val="0"/>
            <c:spPr>
              <a:solidFill>
                <a:schemeClr val="accent1">
                  <a:shade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6B4-40AB-BDA8-47F3849EB6BF}"/>
              </c:ext>
            </c:extLst>
          </c:dPt>
          <c:dLbls>
            <c:spPr>
              <a:solidFill>
                <a:schemeClr val="bg1">
                  <a:alpha val="0"/>
                </a:scheme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Бюджет!$G$25:$G$30</c:f>
              <c:strCache>
                <c:ptCount val="6"/>
                <c:pt idx="0">
                  <c:v>Расходы на оплату труда</c:v>
                </c:pt>
                <c:pt idx="1">
                  <c:v>Страховые взносы во внебюджетные фонды</c:v>
                </c:pt>
                <c:pt idx="2">
                  <c:v>Коммунальные услуги, топливо</c:v>
                </c:pt>
                <c:pt idx="3">
                  <c:v>Содержание объектов основных средств</c:v>
                </c:pt>
                <c:pt idx="4">
                  <c:v>Прочие производственные расходы</c:v>
                </c:pt>
                <c:pt idx="5">
                  <c:v>Амортизация</c:v>
                </c:pt>
              </c:strCache>
            </c:strRef>
          </c:cat>
          <c:val>
            <c:numRef>
              <c:f>Бюджет!$I$25:$I$30</c:f>
              <c:numCache>
                <c:formatCode>0%</c:formatCode>
                <c:ptCount val="6"/>
                <c:pt idx="0">
                  <c:v>0.132231497847871</c:v>
                </c:pt>
                <c:pt idx="1">
                  <c:v>3.8889937043888198E-2</c:v>
                </c:pt>
                <c:pt idx="2">
                  <c:v>1.1019724304950908E-2</c:v>
                </c:pt>
                <c:pt idx="3">
                  <c:v>2.5648584077281586E-2</c:v>
                </c:pt>
                <c:pt idx="4">
                  <c:v>7.7912307905065037E-2</c:v>
                </c:pt>
                <c:pt idx="5">
                  <c:v>0.71429794882094322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B4-40AB-BDA8-47F3849EB6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43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80344491371168"/>
          <c:y val="0.24996579767837632"/>
          <c:w val="0.33060051780627325"/>
          <c:h val="0.68334851472168556"/>
        </c:manualLayout>
      </c:layout>
      <c:overlay val="0"/>
      <c:spPr>
        <a:noFill/>
        <a:ln>
          <a:solidFill>
            <a:schemeClr val="accent1">
              <a:alpha val="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PC104 Remezov</dc:creator>
  <cp:keywords/>
  <dc:description/>
  <cp:lastModifiedBy>PC104 Remezov</cp:lastModifiedBy>
  <cp:revision>2</cp:revision>
  <dcterms:created xsi:type="dcterms:W3CDTF">2024-03-22T04:52:00Z</dcterms:created>
  <dcterms:modified xsi:type="dcterms:W3CDTF">2024-03-22T04:52:00Z</dcterms:modified>
</cp:coreProperties>
</file>