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33" w:rsidRDefault="00BB3B08">
      <w:r>
        <w:rPr>
          <w:noProof/>
          <w:lang w:eastAsia="ru-RU"/>
        </w:rPr>
        <w:drawing>
          <wp:inline distT="0" distB="0" distL="0" distR="0" wp14:anchorId="478B905D" wp14:editId="2BBF4E53">
            <wp:extent cx="5940425" cy="2777490"/>
            <wp:effectExtent l="0" t="0" r="3175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3A032D" w:rsidRDefault="003A032D"/>
    <w:sectPr w:rsidR="003A032D" w:rsidSect="003A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0A"/>
    <w:rsid w:val="003A032D"/>
    <w:rsid w:val="00B5250A"/>
    <w:rsid w:val="00BB3B08"/>
    <w:rsid w:val="00E61E9A"/>
    <w:rsid w:val="00FA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6C97F-5FA8-4B1F-B506-FDEBA737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56;&#1072;&#1073;&#1086;&#1090;&#1072;%20&#1040;&#1058;\&#1054;&#1090;&#1095;&#1077;&#1090;&#1085;&#1099;&#1077;%20&#1092;&#1086;&#1088;&#1084;&#1099;%202021%20&#1075;&#1086;&#1076;%20&#1089;%20&#1091;&#1095;&#1077;&#1090;&#1086;&#1084;%20&#1076;&#1086;&#1087;%20&#1088;&#1072;&#1089;&#1093;&#1086;&#1076;&#1086;&#107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strRef>
          <c:f>Бюджет!$K$2</c:f>
          <c:strCache>
            <c:ptCount val="1"/>
            <c:pt idx="0">
              <c:v>Структура издержек (расходов) на содержание объектов инфраструктуры ООО "Аэропорт Тобольск"
 за 2021 год (план)</c:v>
            </c:pt>
          </c:strCache>
        </c:strRef>
      </c:tx>
      <c:layout>
        <c:manualLayout>
          <c:xMode val="edge"/>
          <c:yMode val="edge"/>
          <c:x val="0.13071964679911699"/>
          <c:y val="1.8885741265344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6510855017295023E-2"/>
          <c:y val="0.27493505238190841"/>
          <c:w val="0.65291811371260711"/>
          <c:h val="0.6575899117426183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shade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>
                  <a:shade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5">
                  <a:shade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5">
                  <a:tint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>
                  <a:tint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5">
                  <a:tint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4"/>
              <c:layout>
                <c:manualLayout>
                  <c:x val="-6.8653073994890037E-3"/>
                  <c:y val="1.90326634099915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>
                  <a:alpha val="0"/>
                </a:scheme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Бюджет!$H$6:$H$11</c:f>
              <c:strCache>
                <c:ptCount val="6"/>
                <c:pt idx="0">
                  <c:v>Расходы на оплату труда</c:v>
                </c:pt>
                <c:pt idx="1">
                  <c:v>Страховые взносы во внебюджетные фонды</c:v>
                </c:pt>
                <c:pt idx="2">
                  <c:v>Коммунальные услуги, топливо</c:v>
                </c:pt>
                <c:pt idx="3">
                  <c:v>Содержание объектов основных средств</c:v>
                </c:pt>
                <c:pt idx="4">
                  <c:v>ГСМ (в т.ч. ПОЖ)</c:v>
                </c:pt>
                <c:pt idx="5">
                  <c:v>Прочие производственные расходы</c:v>
                </c:pt>
              </c:strCache>
            </c:strRef>
          </c:cat>
          <c:val>
            <c:numRef>
              <c:f>Бюджет!$J$6:$J$11</c:f>
              <c:numCache>
                <c:formatCode>0%</c:formatCode>
                <c:ptCount val="6"/>
                <c:pt idx="0">
                  <c:v>0.30895527071808188</c:v>
                </c:pt>
                <c:pt idx="1">
                  <c:v>8.5616653504836007E-2</c:v>
                </c:pt>
                <c:pt idx="2">
                  <c:v>5.8754650630203249E-2</c:v>
                </c:pt>
                <c:pt idx="3">
                  <c:v>9.8750912180978395E-2</c:v>
                </c:pt>
                <c:pt idx="4">
                  <c:v>7.657331789896255E-3</c:v>
                </c:pt>
                <c:pt idx="5">
                  <c:v>0.44026518117600427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289346613130312"/>
          <c:y val="0.329413129307845"/>
          <c:w val="0.38651050737863063"/>
          <c:h val="0.54863346047749695"/>
        </c:manualLayout>
      </c:layout>
      <c:overlay val="0"/>
      <c:spPr>
        <a:noFill/>
        <a:ln>
          <a:solidFill>
            <a:schemeClr val="accent1">
              <a:alpha val="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2021-11-03T09:43:00Z</dcterms:created>
  <dcterms:modified xsi:type="dcterms:W3CDTF">2021-11-03T09:53:00Z</dcterms:modified>
</cp:coreProperties>
</file>