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4617" w14:textId="27C8E9EF" w:rsidR="005855EA" w:rsidRDefault="00904CBB">
      <w:r>
        <w:rPr>
          <w:noProof/>
        </w:rPr>
        <w:drawing>
          <wp:inline distT="0" distB="0" distL="0" distR="0" wp14:anchorId="61C34C4A" wp14:editId="76CCEA40">
            <wp:extent cx="9934575" cy="4933950"/>
            <wp:effectExtent l="0" t="0" r="0" b="0"/>
            <wp:docPr id="85750000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855EA" w:rsidSect="00904CBB">
      <w:pgSz w:w="16838" w:h="11906" w:orient="landscape"/>
      <w:pgMar w:top="737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B"/>
    <w:rsid w:val="000038C9"/>
    <w:rsid w:val="000472AD"/>
    <w:rsid w:val="000558ED"/>
    <w:rsid w:val="000715A6"/>
    <w:rsid w:val="000D56B2"/>
    <w:rsid w:val="000D78BC"/>
    <w:rsid w:val="00162E3C"/>
    <w:rsid w:val="00182002"/>
    <w:rsid w:val="0019291E"/>
    <w:rsid w:val="001A21E5"/>
    <w:rsid w:val="001A2CB9"/>
    <w:rsid w:val="001B09FC"/>
    <w:rsid w:val="00263741"/>
    <w:rsid w:val="002653CF"/>
    <w:rsid w:val="002B2D34"/>
    <w:rsid w:val="002F0018"/>
    <w:rsid w:val="002F4A92"/>
    <w:rsid w:val="0036600C"/>
    <w:rsid w:val="00367619"/>
    <w:rsid w:val="003A7A10"/>
    <w:rsid w:val="003B7F7E"/>
    <w:rsid w:val="003C07DF"/>
    <w:rsid w:val="003D412D"/>
    <w:rsid w:val="00415B45"/>
    <w:rsid w:val="00416C6C"/>
    <w:rsid w:val="0043017C"/>
    <w:rsid w:val="00482D6C"/>
    <w:rsid w:val="004F535E"/>
    <w:rsid w:val="00507725"/>
    <w:rsid w:val="00546F59"/>
    <w:rsid w:val="00574235"/>
    <w:rsid w:val="005855EA"/>
    <w:rsid w:val="005A47EC"/>
    <w:rsid w:val="005A4DBA"/>
    <w:rsid w:val="005F47A8"/>
    <w:rsid w:val="006076F7"/>
    <w:rsid w:val="00622094"/>
    <w:rsid w:val="006327BB"/>
    <w:rsid w:val="0065575A"/>
    <w:rsid w:val="006A4DC0"/>
    <w:rsid w:val="006B29D6"/>
    <w:rsid w:val="006D3408"/>
    <w:rsid w:val="00710838"/>
    <w:rsid w:val="007225A9"/>
    <w:rsid w:val="00732489"/>
    <w:rsid w:val="0077123F"/>
    <w:rsid w:val="007A254C"/>
    <w:rsid w:val="00806493"/>
    <w:rsid w:val="00816267"/>
    <w:rsid w:val="00831D6E"/>
    <w:rsid w:val="00836B99"/>
    <w:rsid w:val="00836F65"/>
    <w:rsid w:val="008626F6"/>
    <w:rsid w:val="00870B6F"/>
    <w:rsid w:val="008A668C"/>
    <w:rsid w:val="008B23A5"/>
    <w:rsid w:val="00904CBB"/>
    <w:rsid w:val="009203C1"/>
    <w:rsid w:val="009254A7"/>
    <w:rsid w:val="00930883"/>
    <w:rsid w:val="009322D3"/>
    <w:rsid w:val="00961F99"/>
    <w:rsid w:val="0098171A"/>
    <w:rsid w:val="009D0F62"/>
    <w:rsid w:val="009F3B4B"/>
    <w:rsid w:val="00A0507C"/>
    <w:rsid w:val="00A1648A"/>
    <w:rsid w:val="00A2229A"/>
    <w:rsid w:val="00AC7CC7"/>
    <w:rsid w:val="00AD1669"/>
    <w:rsid w:val="00AE4CB3"/>
    <w:rsid w:val="00B11245"/>
    <w:rsid w:val="00B229C1"/>
    <w:rsid w:val="00B260C7"/>
    <w:rsid w:val="00B30C39"/>
    <w:rsid w:val="00B4085E"/>
    <w:rsid w:val="00B61F55"/>
    <w:rsid w:val="00B855EE"/>
    <w:rsid w:val="00B956F7"/>
    <w:rsid w:val="00BA4C8A"/>
    <w:rsid w:val="00BB5D9F"/>
    <w:rsid w:val="00BF6D6B"/>
    <w:rsid w:val="00C01C30"/>
    <w:rsid w:val="00C03B8F"/>
    <w:rsid w:val="00D11918"/>
    <w:rsid w:val="00D247E0"/>
    <w:rsid w:val="00D32F83"/>
    <w:rsid w:val="00D33263"/>
    <w:rsid w:val="00D41A95"/>
    <w:rsid w:val="00D426E1"/>
    <w:rsid w:val="00D7290B"/>
    <w:rsid w:val="00DA0D66"/>
    <w:rsid w:val="00E0742E"/>
    <w:rsid w:val="00E32505"/>
    <w:rsid w:val="00E76BEA"/>
    <w:rsid w:val="00E77D45"/>
    <w:rsid w:val="00E91748"/>
    <w:rsid w:val="00EC30B8"/>
    <w:rsid w:val="00EE4373"/>
    <w:rsid w:val="00F020AA"/>
    <w:rsid w:val="00F12A98"/>
    <w:rsid w:val="00F14A8B"/>
    <w:rsid w:val="00F218B0"/>
    <w:rsid w:val="00F37951"/>
    <w:rsid w:val="00FD3CC6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C559"/>
  <w15:chartTrackingRefBased/>
  <w15:docId w15:val="{EC031C17-8147-4F3B-9D60-B6AE90F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.63\tobolsk_fd\&#1060;&#1072;&#1082;&#1090;%202023\&#1057;&#1090;&#1088;&#1091;&#1082;&#1090;&#1091;&#1088;&#1072;%20&#1080;&#1079;&#1076;&#1077;&#1088;&#1078;&#1077;&#1082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strRef>
          <c:f>Бюджет!$J$2</c:f>
          <c:strCache>
            <c:ptCount val="1"/>
            <c:pt idx="0">
              <c:v>Структура издержек (расходов) на содержание объектов инфраструктуры 
ООО "Аэропорт Тобольск" (Д.У.)
 за 2023 год (факт)</c:v>
            </c:pt>
          </c:strCache>
        </c:strRef>
      </c:tx>
      <c:layout>
        <c:manualLayout>
          <c:xMode val="edge"/>
          <c:yMode val="edge"/>
          <c:x val="0.12895364238410595"/>
          <c:y val="2.233989573663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897568267542718E-2"/>
          <c:y val="0.22569615663820145"/>
          <c:w val="0.38516013975074309"/>
          <c:h val="0.75335706326219165"/>
        </c:manualLayout>
      </c:layout>
      <c:pie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A25-4506-9E44-2448EB327056}"/>
              </c:ext>
            </c:extLst>
          </c:dPt>
          <c:dPt>
            <c:idx val="1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A25-4506-9E44-2448EB327056}"/>
              </c:ext>
            </c:extLst>
          </c:dPt>
          <c:dPt>
            <c:idx val="2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A25-4506-9E44-2448EB327056}"/>
              </c:ext>
            </c:extLst>
          </c:dPt>
          <c:dPt>
            <c:idx val="3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A25-4506-9E44-2448EB327056}"/>
              </c:ext>
            </c:extLst>
          </c:dPt>
          <c:dPt>
            <c:idx val="4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A25-4506-9E44-2448EB327056}"/>
              </c:ext>
            </c:extLst>
          </c:dPt>
          <c:dPt>
            <c:idx val="5"/>
            <c:bubble3D val="0"/>
            <c:explosion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A25-4506-9E44-2448EB327056}"/>
              </c:ext>
            </c:extLst>
          </c:dPt>
          <c:dLbls>
            <c:spPr>
              <a:solidFill>
                <a:schemeClr val="bg1">
                  <a:alpha val="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Бюджет!$G$6:$G$11</c:f>
              <c:strCache>
                <c:ptCount val="6"/>
                <c:pt idx="0">
                  <c:v>Расходы на оплату труда</c:v>
                </c:pt>
                <c:pt idx="1">
                  <c:v>Страховые взносы во внебюджетные фонды</c:v>
                </c:pt>
                <c:pt idx="2">
                  <c:v>Коммунальные услуги, топливо</c:v>
                </c:pt>
                <c:pt idx="3">
                  <c:v>Содержание объектов основных средств</c:v>
                </c:pt>
                <c:pt idx="4">
                  <c:v>Прочие производственные расходы</c:v>
                </c:pt>
                <c:pt idx="5">
                  <c:v>Амортизация</c:v>
                </c:pt>
              </c:strCache>
            </c:strRef>
          </c:cat>
          <c:val>
            <c:numRef>
              <c:f>Бюджет!$I$6:$I$11</c:f>
              <c:numCache>
                <c:formatCode>0%</c:formatCode>
                <c:ptCount val="6"/>
                <c:pt idx="0">
                  <c:v>0.1197805639061444</c:v>
                </c:pt>
                <c:pt idx="1">
                  <c:v>3.5036279072236519E-2</c:v>
                </c:pt>
                <c:pt idx="2">
                  <c:v>8.0630030462816981E-3</c:v>
                </c:pt>
                <c:pt idx="3">
                  <c:v>2.0638838870544185E-2</c:v>
                </c:pt>
                <c:pt idx="4">
                  <c:v>5.8011685889502076E-2</c:v>
                </c:pt>
                <c:pt idx="5">
                  <c:v>0.75846962921529115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A25-4506-9E44-2448EB3270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43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968347831617"/>
          <c:y val="0.24996579767837632"/>
          <c:w val="0.40043565436077189"/>
          <c:h val="0.68334851472168556"/>
        </c:manualLayout>
      </c:layout>
      <c:overlay val="0"/>
      <c:spPr>
        <a:noFill/>
        <a:ln>
          <a:solidFill>
            <a:schemeClr val="accent1">
              <a:alpha val="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PC104 Remezov</dc:creator>
  <cp:keywords/>
  <dc:description/>
  <cp:lastModifiedBy>PC104 Remezov</cp:lastModifiedBy>
  <cp:revision>1</cp:revision>
  <dcterms:created xsi:type="dcterms:W3CDTF">2024-03-22T04:45:00Z</dcterms:created>
  <dcterms:modified xsi:type="dcterms:W3CDTF">2024-03-22T04:47:00Z</dcterms:modified>
</cp:coreProperties>
</file>